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EE0" w:rsidRPr="00A700F0" w:rsidRDefault="00A700F0" w:rsidP="00503EE0">
      <w:pPr>
        <w:rPr>
          <w:rStyle w:val="Emphasis"/>
          <w:b/>
          <w:i w:val="0"/>
          <w:iCs w:val="0"/>
        </w:rPr>
      </w:pPr>
      <w:r>
        <w:rPr>
          <w:noProof/>
          <w:lang w:eastAsia="en-GB"/>
        </w:rPr>
        <w:drawing>
          <wp:anchor distT="0" distB="0" distL="114300" distR="114300" simplePos="0" relativeHeight="251658240" behindDoc="0" locked="0" layoutInCell="1" allowOverlap="1">
            <wp:simplePos x="0" y="0"/>
            <wp:positionH relativeFrom="column">
              <wp:posOffset>-28575</wp:posOffset>
            </wp:positionH>
            <wp:positionV relativeFrom="paragraph">
              <wp:posOffset>-122555</wp:posOffset>
            </wp:positionV>
            <wp:extent cx="1531620" cy="1188720"/>
            <wp:effectExtent l="0" t="0" r="0" b="0"/>
            <wp:wrapSquare wrapText="bothSides"/>
            <wp:docPr id="1" name="Picture 1" descr="Image result for ebor academy f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bor academy file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31620" cy="1188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30D5E" w:rsidRDefault="00503EE0" w:rsidP="00F30D5E">
      <w:pPr>
        <w:ind w:left="720" w:firstLine="720"/>
        <w:rPr>
          <w:rStyle w:val="Emphasis"/>
          <w:b/>
          <w:i w:val="0"/>
          <w:color w:val="365F91" w:themeColor="accent1" w:themeShade="BF"/>
          <w:sz w:val="32"/>
          <w:szCs w:val="32"/>
        </w:rPr>
      </w:pPr>
      <w:r w:rsidRPr="00A700F0">
        <w:rPr>
          <w:rStyle w:val="Emphasis"/>
          <w:b/>
          <w:i w:val="0"/>
          <w:color w:val="365F91" w:themeColor="accent1" w:themeShade="BF"/>
          <w:sz w:val="32"/>
          <w:szCs w:val="32"/>
        </w:rPr>
        <w:t>Strategies to Support Pupil</w:t>
      </w:r>
      <w:r w:rsidR="00F30D5E">
        <w:rPr>
          <w:rStyle w:val="Emphasis"/>
          <w:b/>
          <w:i w:val="0"/>
          <w:color w:val="365F91" w:themeColor="accent1" w:themeShade="BF"/>
          <w:sz w:val="32"/>
          <w:szCs w:val="32"/>
        </w:rPr>
        <w:t xml:space="preserve"> Premium</w:t>
      </w:r>
    </w:p>
    <w:p w:rsidR="00503EE0" w:rsidRPr="00A700F0" w:rsidRDefault="00384122" w:rsidP="00F30D5E">
      <w:pPr>
        <w:ind w:left="720" w:firstLine="720"/>
        <w:rPr>
          <w:rStyle w:val="Emphasis"/>
          <w:b/>
          <w:i w:val="0"/>
          <w:color w:val="365F91" w:themeColor="accent1" w:themeShade="BF"/>
          <w:sz w:val="32"/>
          <w:szCs w:val="32"/>
        </w:rPr>
      </w:pPr>
      <w:r>
        <w:rPr>
          <w:rStyle w:val="Emphasis"/>
          <w:b/>
          <w:i w:val="0"/>
          <w:color w:val="365F91" w:themeColor="accent1" w:themeShade="BF"/>
          <w:sz w:val="32"/>
          <w:szCs w:val="32"/>
        </w:rPr>
        <w:t xml:space="preserve">students in </w:t>
      </w:r>
      <w:r w:rsidR="00A700F0" w:rsidRPr="00A700F0">
        <w:rPr>
          <w:rStyle w:val="Emphasis"/>
          <w:b/>
          <w:i w:val="0"/>
          <w:color w:val="365F91" w:themeColor="accent1" w:themeShade="BF"/>
          <w:sz w:val="32"/>
          <w:szCs w:val="32"/>
        </w:rPr>
        <w:t>Ebor Academy Filey</w:t>
      </w:r>
    </w:p>
    <w:p w:rsidR="00503EE0" w:rsidRDefault="00503EE0" w:rsidP="00503EE0"/>
    <w:p w:rsidR="00A700F0" w:rsidRDefault="00A700F0" w:rsidP="00503EE0">
      <w:pPr>
        <w:rPr>
          <w:b/>
        </w:rPr>
      </w:pPr>
    </w:p>
    <w:p w:rsidR="00A700F0" w:rsidRDefault="00A700F0" w:rsidP="00503EE0">
      <w:pPr>
        <w:rPr>
          <w:b/>
        </w:rPr>
      </w:pPr>
    </w:p>
    <w:p w:rsidR="00A700F0" w:rsidRDefault="00A700F0" w:rsidP="00503EE0">
      <w:pPr>
        <w:rPr>
          <w:b/>
        </w:rPr>
      </w:pPr>
    </w:p>
    <w:p w:rsidR="00503EE0" w:rsidRPr="00503EE0" w:rsidRDefault="00503EE0" w:rsidP="00503EE0">
      <w:pPr>
        <w:rPr>
          <w:b/>
        </w:rPr>
      </w:pPr>
      <w:r w:rsidRPr="00503EE0">
        <w:rPr>
          <w:b/>
        </w:rPr>
        <w:t>Rationale</w:t>
      </w:r>
    </w:p>
    <w:p w:rsidR="00503EE0" w:rsidRDefault="00503EE0" w:rsidP="00503EE0"/>
    <w:p w:rsidR="00503EE0" w:rsidRDefault="00503EE0" w:rsidP="00503EE0">
      <w:r>
        <w:t>As part of the programme of implementation for pupils in receipt of Pupil Premium Funding, we have devised a plan to raise the profile of eligible pupils that we have who face challenging personal circumstances that they have to deal with on a daily basis.</w:t>
      </w:r>
    </w:p>
    <w:p w:rsidR="00503EE0" w:rsidRDefault="00503EE0" w:rsidP="00503EE0"/>
    <w:p w:rsidR="00AE796C" w:rsidRPr="00AE796C" w:rsidRDefault="00AE796C" w:rsidP="00503EE0">
      <w:pPr>
        <w:rPr>
          <w:b/>
        </w:rPr>
      </w:pPr>
      <w:r w:rsidRPr="00AE796C">
        <w:rPr>
          <w:b/>
        </w:rPr>
        <w:t>School context:</w:t>
      </w:r>
    </w:p>
    <w:p w:rsidR="00AE796C" w:rsidRDefault="00AE796C" w:rsidP="00503EE0"/>
    <w:p w:rsidR="00503EE0" w:rsidRDefault="00AE796C" w:rsidP="00503EE0">
      <w:r>
        <w:t>Students</w:t>
      </w:r>
      <w:r w:rsidR="00503EE0">
        <w:t xml:space="preserve"> in parts </w:t>
      </w:r>
      <w:r w:rsidR="00F30D5E">
        <w:t>of Filey</w:t>
      </w:r>
      <w:r w:rsidR="00503EE0">
        <w:t xml:space="preserve"> are in the top 20% most </w:t>
      </w:r>
      <w:r w:rsidR="00F30D5E">
        <w:t>deprived nationally</w:t>
      </w:r>
      <w:r w:rsidR="00503EE0">
        <w:t xml:space="preserve"> against most of</w:t>
      </w:r>
    </w:p>
    <w:p w:rsidR="00BA6CB4" w:rsidRPr="00F30D5E" w:rsidRDefault="00F30D5E" w:rsidP="00A700F0">
      <w:pPr>
        <w:rPr>
          <w:i/>
          <w:sz w:val="20"/>
          <w:vertAlign w:val="superscript"/>
        </w:rPr>
      </w:pPr>
      <w:r>
        <w:t>the</w:t>
      </w:r>
      <w:r w:rsidR="00503EE0">
        <w:t xml:space="preserve"> government deprivation indices. North Yorkshire County Council’s</w:t>
      </w:r>
      <w:r w:rsidR="00BA6CB4">
        <w:t xml:space="preserve"> </w:t>
      </w:r>
      <w:r w:rsidR="00A700F0">
        <w:t xml:space="preserve">which takes in Scarborough, Whitby and Filey </w:t>
      </w:r>
      <w:r w:rsidR="00722AA6">
        <w:t>documents</w:t>
      </w:r>
      <w:r w:rsidR="00503EE0">
        <w:t xml:space="preserve"> </w:t>
      </w:r>
      <w:r w:rsidR="00503EE0" w:rsidRPr="00722AA6">
        <w:t xml:space="preserve">that </w:t>
      </w:r>
      <w:r w:rsidR="00503EE0" w:rsidRPr="00722AA6">
        <w:rPr>
          <w:i/>
        </w:rPr>
        <w:t>“Children living in poverty are a significant issue for the CCG area with rates in Scarborough being significantly higher than the national average. The CCG has over 3800 children living in poverty (i.e. in “low income families” as defined by the Department for Work &amp; Pensions) within its boundaries</w:t>
      </w:r>
      <w:r w:rsidR="00382302" w:rsidRPr="00722AA6">
        <w:rPr>
          <w:i/>
        </w:rPr>
        <w:t>…</w:t>
      </w:r>
      <w:r w:rsidR="00503EE0" w:rsidRPr="00722AA6">
        <w:rPr>
          <w:i/>
        </w:rPr>
        <w:t xml:space="preserve"> some of North Yorkshire’s most</w:t>
      </w:r>
      <w:r w:rsidR="00A700F0" w:rsidRPr="00722AA6">
        <w:rPr>
          <w:i/>
        </w:rPr>
        <w:t xml:space="preserve"> </w:t>
      </w:r>
      <w:r w:rsidR="00503EE0" w:rsidRPr="00722AA6">
        <w:rPr>
          <w:i/>
        </w:rPr>
        <w:t>deprived communities can be found within the CCG boundaries – 15 of the 23 LSOA within the County that are among the 20% most deprived nationally are located within the boundaries of the Scarborough &amp; Ryedale CCG.  Almost 1 in 4 residents in Scarborough District are economically inactive, and approximately 6000 individuals are classified as “long term sick”. This equates to 38.8% of the economically inactive population within the district and compares with 23.5% across the wider region. This demonstrates the generally poorer health experienced by many residents within the district and the impact this has on wider socio-economic outcomes and is reflected in higher rates of premature mortality (346 per 100,000 in 2012-14) than elsewhere in the County.”</w:t>
      </w:r>
      <w:r w:rsidR="00A700F0" w:rsidRPr="00722AA6">
        <w:rPr>
          <w:i/>
        </w:rPr>
        <w:t xml:space="preserve"> </w:t>
      </w:r>
      <w:r w:rsidR="00A700F0">
        <w:t xml:space="preserve"> </w:t>
      </w:r>
      <w:r w:rsidR="00A700F0" w:rsidRPr="00F30D5E">
        <w:rPr>
          <w:i/>
          <w:sz w:val="20"/>
          <w:vertAlign w:val="superscript"/>
        </w:rPr>
        <w:t>(i)</w:t>
      </w:r>
    </w:p>
    <w:p w:rsidR="00BA6CB4" w:rsidRDefault="00BA6CB4" w:rsidP="00503EE0"/>
    <w:p w:rsidR="00503EE0" w:rsidRPr="00BA6CB4" w:rsidRDefault="00503EE0" w:rsidP="00503EE0">
      <w:pPr>
        <w:rPr>
          <w:b/>
        </w:rPr>
      </w:pPr>
      <w:r w:rsidRPr="00BA6CB4">
        <w:rPr>
          <w:b/>
        </w:rPr>
        <w:t>Aim</w:t>
      </w:r>
    </w:p>
    <w:p w:rsidR="00BA6CB4" w:rsidRDefault="00BA6CB4" w:rsidP="00503EE0"/>
    <w:p w:rsidR="00503EE0" w:rsidRDefault="00503EE0" w:rsidP="00503EE0">
      <w:r>
        <w:t xml:space="preserve">Our aim </w:t>
      </w:r>
      <w:r w:rsidR="00BA6CB4">
        <w:t>is</w:t>
      </w:r>
      <w:r>
        <w:t xml:space="preserve"> to introduce different agencies and different</w:t>
      </w:r>
      <w:r w:rsidR="00AE796C">
        <w:t xml:space="preserve"> student experiences to </w:t>
      </w:r>
      <w:r w:rsidR="00382302">
        <w:t>staff and</w:t>
      </w:r>
      <w:r w:rsidR="00AE796C">
        <w:t xml:space="preserve"> parents, to </w:t>
      </w:r>
      <w:r>
        <w:t xml:space="preserve">increase awareness of some of the challenges that our </w:t>
      </w:r>
      <w:r w:rsidR="00AE796C">
        <w:t xml:space="preserve">students </w:t>
      </w:r>
      <w:r>
        <w:t>eligible for Pupil Premium</w:t>
      </w:r>
      <w:r w:rsidR="00BA6CB4">
        <w:t xml:space="preserve"> </w:t>
      </w:r>
      <w:r>
        <w:t xml:space="preserve">funding face. </w:t>
      </w:r>
      <w:bookmarkStart w:id="0" w:name="_GoBack"/>
      <w:bookmarkEnd w:id="0"/>
      <w:r>
        <w:t>The following table outlines the different</w:t>
      </w:r>
      <w:r w:rsidR="00BA6CB4">
        <w:t xml:space="preserve"> </w:t>
      </w:r>
      <w:r>
        <w:t>organisations/activities</w:t>
      </w:r>
      <w:r w:rsidR="00BA6CB4">
        <w:t xml:space="preserve"> we are </w:t>
      </w:r>
      <w:r w:rsidR="00AE796C">
        <w:t>currently involved with</w:t>
      </w:r>
      <w:r w:rsidR="00BA6CB4">
        <w:t>:</w:t>
      </w:r>
    </w:p>
    <w:p w:rsidR="00BA6CB4" w:rsidRDefault="00BA6CB4" w:rsidP="00503EE0"/>
    <w:p w:rsidR="00E81D78" w:rsidRDefault="00AE796C" w:rsidP="00F30D5E">
      <w:pPr>
        <w:pStyle w:val="ListParagraph"/>
        <w:numPr>
          <w:ilvl w:val="0"/>
          <w:numId w:val="1"/>
        </w:numPr>
        <w:ind w:left="360"/>
      </w:pPr>
      <w:r w:rsidRPr="00382302">
        <w:rPr>
          <w:b/>
        </w:rPr>
        <w:t xml:space="preserve">Teaching &amp; Learning – </w:t>
      </w:r>
      <w:r w:rsidRPr="00AE796C">
        <w:t xml:space="preserve">Using research from the Sutton Trust and EEF around Pupil </w:t>
      </w:r>
      <w:r w:rsidR="00722AA6" w:rsidRPr="00AE796C">
        <w:t>Premium</w:t>
      </w:r>
      <w:r w:rsidR="00722AA6" w:rsidRPr="00F30D5E">
        <w:rPr>
          <w:i/>
        </w:rPr>
        <w:t xml:space="preserve"> (</w:t>
      </w:r>
      <w:r w:rsidR="00F30D5E" w:rsidRPr="00F30D5E">
        <w:rPr>
          <w:i/>
        </w:rPr>
        <w:t>hereafter PP)</w:t>
      </w:r>
      <w:r w:rsidRPr="00AE796C">
        <w:t xml:space="preserve"> and hav</w:t>
      </w:r>
      <w:r w:rsidR="00382302">
        <w:t>ing</w:t>
      </w:r>
      <w:r w:rsidRPr="00AE796C">
        <w:t xml:space="preserve"> circulated the Sutton Trust report on strategies to all </w:t>
      </w:r>
      <w:r w:rsidRPr="00382302">
        <w:t xml:space="preserve">staff </w:t>
      </w:r>
      <w:r w:rsidR="00382302">
        <w:t xml:space="preserve">we are seeking to </w:t>
      </w:r>
      <w:r w:rsidRPr="00382302">
        <w:t>identify</w:t>
      </w:r>
      <w:r w:rsidR="00382302">
        <w:t xml:space="preserve"> the</w:t>
      </w:r>
      <w:r w:rsidRPr="00382302">
        <w:t xml:space="preserve"> key difference we can make is through wave one quality teaching. </w:t>
      </w:r>
      <w:r w:rsidRPr="00F30D5E">
        <w:rPr>
          <w:i/>
          <w:sz w:val="20"/>
          <w:vertAlign w:val="superscript"/>
        </w:rPr>
        <w:t>(ii)</w:t>
      </w:r>
      <w:r w:rsidRPr="00382302">
        <w:t xml:space="preserve">   </w:t>
      </w:r>
      <w:r w:rsidR="00382302" w:rsidRPr="00382302">
        <w:t xml:space="preserve">Studies have shown that pupils from </w:t>
      </w:r>
      <w:r w:rsidR="00382302">
        <w:t>w</w:t>
      </w:r>
      <w:r w:rsidR="00382302" w:rsidRPr="00382302">
        <w:t xml:space="preserve">hite </w:t>
      </w:r>
      <w:r w:rsidR="00382302">
        <w:t>w</w:t>
      </w:r>
      <w:r w:rsidR="00382302" w:rsidRPr="00382302">
        <w:t xml:space="preserve">orking </w:t>
      </w:r>
      <w:r w:rsidR="00382302">
        <w:t>c</w:t>
      </w:r>
      <w:r w:rsidR="00382302" w:rsidRPr="00382302">
        <w:t xml:space="preserve">lass backgrounds are less likely to achieve than their peers so money has </w:t>
      </w:r>
      <w:r w:rsidR="002B68FB" w:rsidRPr="00382302">
        <w:t xml:space="preserve">been </w:t>
      </w:r>
      <w:r w:rsidR="002B68FB">
        <w:t>made</w:t>
      </w:r>
      <w:r w:rsidR="00382302" w:rsidRPr="00382302">
        <w:t xml:space="preserve"> available to address conce</w:t>
      </w:r>
      <w:r w:rsidR="00382302">
        <w:t>rns over revision by providing w</w:t>
      </w:r>
      <w:r w:rsidR="00382302" w:rsidRPr="00382302">
        <w:t>orkshops through Learning Performance and also providing students with a Study Skills revision guide</w:t>
      </w:r>
      <w:r w:rsidR="00382302">
        <w:t>s and planner.</w:t>
      </w:r>
      <w:r w:rsidR="00F30D5E">
        <w:t xml:space="preserve"> </w:t>
      </w:r>
      <w:r w:rsidR="00382302" w:rsidRPr="00F30D5E">
        <w:rPr>
          <w:i/>
          <w:sz w:val="20"/>
          <w:vertAlign w:val="superscript"/>
        </w:rPr>
        <w:t>(iii).</w:t>
      </w:r>
      <w:r w:rsidR="00382302" w:rsidRPr="00382302">
        <w:t xml:space="preserve"> </w:t>
      </w:r>
    </w:p>
    <w:p w:rsidR="00E81D78" w:rsidRDefault="00E81D78" w:rsidP="00F30D5E">
      <w:pPr>
        <w:pStyle w:val="ListParagraph"/>
        <w:ind w:left="360"/>
      </w:pPr>
    </w:p>
    <w:p w:rsidR="00E81D78" w:rsidRDefault="00F30D5E" w:rsidP="00F30D5E">
      <w:pPr>
        <w:pStyle w:val="ListParagraph"/>
        <w:ind w:left="360"/>
      </w:pPr>
      <w:r>
        <w:t>PP</w:t>
      </w:r>
      <w:r w:rsidR="00E81D78">
        <w:t xml:space="preserve"> students are provided with a variety </w:t>
      </w:r>
      <w:r>
        <w:t>of learning</w:t>
      </w:r>
      <w:r w:rsidR="00E81D78">
        <w:t xml:space="preserve"> </w:t>
      </w:r>
      <w:r>
        <w:t>opportunities</w:t>
      </w:r>
      <w:r w:rsidR="00E81D78">
        <w:t xml:space="preserve"> to support learning outside </w:t>
      </w:r>
      <w:r>
        <w:t>of the</w:t>
      </w:r>
      <w:r w:rsidR="00E81D78">
        <w:t xml:space="preserve"> school timetable. An after-school homework club, subject revision sessions </w:t>
      </w:r>
      <w:r w:rsidR="00E81D78">
        <w:lastRenderedPageBreak/>
        <w:t xml:space="preserve">and a late bus have been introduced to support these </w:t>
      </w:r>
      <w:r>
        <w:t>students’</w:t>
      </w:r>
      <w:r w:rsidR="00E81D78">
        <w:t xml:space="preserve"> withy revision and homework guidance.</w:t>
      </w:r>
    </w:p>
    <w:p w:rsidR="00E81D78" w:rsidRPr="00382302" w:rsidRDefault="00E81D78" w:rsidP="00F30D5E">
      <w:pPr>
        <w:pStyle w:val="ListParagraph"/>
        <w:ind w:left="360"/>
      </w:pPr>
    </w:p>
    <w:p w:rsidR="00093CE7" w:rsidRDefault="00503EE0" w:rsidP="00F30D5E">
      <w:pPr>
        <w:pStyle w:val="ListParagraph"/>
        <w:numPr>
          <w:ilvl w:val="0"/>
          <w:numId w:val="1"/>
        </w:numPr>
        <w:ind w:left="360"/>
      </w:pPr>
      <w:r w:rsidRPr="00093CE7">
        <w:rPr>
          <w:b/>
        </w:rPr>
        <w:t>Pastoral</w:t>
      </w:r>
      <w:r w:rsidR="00382302" w:rsidRPr="00093CE7">
        <w:rPr>
          <w:b/>
        </w:rPr>
        <w:t xml:space="preserve"> </w:t>
      </w:r>
      <w:r w:rsidR="002B68FB" w:rsidRPr="00093CE7">
        <w:rPr>
          <w:b/>
        </w:rPr>
        <w:t>care -</w:t>
      </w:r>
      <w:r w:rsidR="00BA6CB4">
        <w:t xml:space="preserve"> P</w:t>
      </w:r>
      <w:r>
        <w:t>astor</w:t>
      </w:r>
      <w:r w:rsidR="00BA6CB4">
        <w:t>al staff present</w:t>
      </w:r>
      <w:r>
        <w:t xml:space="preserve"> information to teachers on the </w:t>
      </w:r>
      <w:r w:rsidR="00AE796C">
        <w:t>transition process</w:t>
      </w:r>
      <w:r>
        <w:t xml:space="preserve"> from primary school</w:t>
      </w:r>
      <w:r w:rsidR="00BA6CB4">
        <w:t xml:space="preserve"> to secondary school and school </w:t>
      </w:r>
      <w:r>
        <w:t>attendance. They focused</w:t>
      </w:r>
      <w:r w:rsidR="00BA6CB4">
        <w:t xml:space="preserve"> on some of the issues faced </w:t>
      </w:r>
      <w:r w:rsidR="00384122">
        <w:t>by disadvantaged</w:t>
      </w:r>
      <w:r>
        <w:t xml:space="preserve"> groups and some of th</w:t>
      </w:r>
      <w:r w:rsidR="00BA6CB4">
        <w:t xml:space="preserve">e strategies used to engage our </w:t>
      </w:r>
      <w:r>
        <w:t>more challenging learners.</w:t>
      </w:r>
      <w:r w:rsidR="00093CE7">
        <w:t xml:space="preserve"> This can extend to working with outside agencies like:</w:t>
      </w:r>
    </w:p>
    <w:p w:rsidR="00093CE7" w:rsidRDefault="00093CE7" w:rsidP="00F30D5E">
      <w:pPr>
        <w:pStyle w:val="ListParagraph"/>
        <w:ind w:left="360"/>
        <w:rPr>
          <w:b/>
        </w:rPr>
      </w:pPr>
    </w:p>
    <w:p w:rsidR="00093CE7" w:rsidRDefault="00093CE7" w:rsidP="00F30D5E">
      <w:pPr>
        <w:pStyle w:val="ListParagraph"/>
        <w:ind w:left="360"/>
      </w:pPr>
      <w:r>
        <w:rPr>
          <w:b/>
        </w:rPr>
        <w:t>(i).</w:t>
      </w:r>
      <w:r>
        <w:t xml:space="preserve"> </w:t>
      </w:r>
      <w:r w:rsidR="00AE796C" w:rsidRPr="00093CE7">
        <w:rPr>
          <w:b/>
        </w:rPr>
        <w:t>S</w:t>
      </w:r>
      <w:r w:rsidR="00503EE0" w:rsidRPr="00093CE7">
        <w:rPr>
          <w:b/>
        </w:rPr>
        <w:t xml:space="preserve">ocial Services </w:t>
      </w:r>
      <w:r w:rsidR="00BA6CB4" w:rsidRPr="00093CE7">
        <w:rPr>
          <w:b/>
        </w:rPr>
        <w:t xml:space="preserve"> -</w:t>
      </w:r>
      <w:r w:rsidR="00AE796C">
        <w:t xml:space="preserve"> Where needed, t</w:t>
      </w:r>
      <w:r w:rsidR="00BA6CB4">
        <w:t xml:space="preserve">eaching staff are made aware of </w:t>
      </w:r>
      <w:r w:rsidR="00503EE0">
        <w:t xml:space="preserve"> the more serious</w:t>
      </w:r>
      <w:r w:rsidR="00BA6CB4">
        <w:t xml:space="preserve"> </w:t>
      </w:r>
      <w:r w:rsidR="00503EE0">
        <w:t xml:space="preserve">issues facing disadvantaged families in our area and </w:t>
      </w:r>
      <w:r w:rsidR="00AE796C">
        <w:t xml:space="preserve"> </w:t>
      </w:r>
      <w:r w:rsidR="00503EE0">
        <w:t>how the social</w:t>
      </w:r>
      <w:r w:rsidR="00BA6CB4">
        <w:t xml:space="preserve"> </w:t>
      </w:r>
      <w:r w:rsidR="00503EE0">
        <w:t xml:space="preserve">services team handle their caseload. </w:t>
      </w:r>
      <w:r>
        <w:t xml:space="preserve"> Inter-</w:t>
      </w:r>
      <w:r w:rsidR="002B68FB">
        <w:t>professional dialogue</w:t>
      </w:r>
      <w:r w:rsidR="00AE796C">
        <w:t xml:space="preserve"> takes place </w:t>
      </w:r>
      <w:r w:rsidR="00503EE0">
        <w:t>to discuss how the school and social services can work together more</w:t>
      </w:r>
      <w:r w:rsidR="00BA6CB4">
        <w:t xml:space="preserve"> </w:t>
      </w:r>
      <w:r w:rsidR="00503EE0">
        <w:t xml:space="preserve">effectively to support </w:t>
      </w:r>
      <w:r w:rsidR="00AE796C">
        <w:t>students and their parents.</w:t>
      </w:r>
    </w:p>
    <w:p w:rsidR="00093CE7" w:rsidRDefault="00093CE7" w:rsidP="00F30D5E">
      <w:pPr>
        <w:pStyle w:val="ListParagraph"/>
        <w:ind w:left="360"/>
      </w:pPr>
      <w:r>
        <w:rPr>
          <w:b/>
        </w:rPr>
        <w:t xml:space="preserve">(ii). </w:t>
      </w:r>
      <w:r w:rsidR="00BA6CB4" w:rsidRPr="00093CE7">
        <w:rPr>
          <w:b/>
        </w:rPr>
        <w:t xml:space="preserve">The local police </w:t>
      </w:r>
      <w:r w:rsidRPr="00093CE7">
        <w:t>-</w:t>
      </w:r>
      <w:r w:rsidR="00AE796C" w:rsidRPr="00093CE7">
        <w:t xml:space="preserve"> </w:t>
      </w:r>
      <w:r w:rsidR="00382302" w:rsidRPr="00093CE7">
        <w:t xml:space="preserve"> </w:t>
      </w:r>
      <w:r w:rsidR="002B68FB" w:rsidRPr="00093CE7">
        <w:t xml:space="preserve"> </w:t>
      </w:r>
      <w:r w:rsidRPr="00093CE7">
        <w:t>where l</w:t>
      </w:r>
      <w:r w:rsidR="002B68FB" w:rsidRPr="00093CE7">
        <w:t xml:space="preserve">ocal </w:t>
      </w:r>
      <w:r w:rsidR="002B68FB" w:rsidRPr="002B68FB">
        <w:t xml:space="preserve">police and PCSO officers work collaboratively together to support </w:t>
      </w:r>
      <w:r>
        <w:t>vulnerable</w:t>
      </w:r>
      <w:r w:rsidR="002B68FB" w:rsidRPr="002B68FB">
        <w:t xml:space="preserve"> students and </w:t>
      </w:r>
      <w:r>
        <w:t xml:space="preserve">their </w:t>
      </w:r>
      <w:r w:rsidR="002B68FB" w:rsidRPr="002B68FB">
        <w:t xml:space="preserve">families. </w:t>
      </w:r>
      <w:r w:rsidRPr="00093CE7">
        <w:t>The school has worked hard to develop a relaxed</w:t>
      </w:r>
      <w:r>
        <w:t>, constructive</w:t>
      </w:r>
      <w:r w:rsidRPr="00093CE7">
        <w:t xml:space="preserve"> approach to police visiting the school and improving relationships within the local area. </w:t>
      </w:r>
      <w:r>
        <w:t>For example s</w:t>
      </w:r>
      <w:r w:rsidR="002B68FB" w:rsidRPr="002B68FB">
        <w:t>tudents and local police representatives have</w:t>
      </w:r>
      <w:r w:rsidR="002B68FB">
        <w:t xml:space="preserve"> cooperated together </w:t>
      </w:r>
      <w:r w:rsidR="002B68FB" w:rsidRPr="002B68FB">
        <w:t>on local i</w:t>
      </w:r>
      <w:r w:rsidR="002B68FB">
        <w:t>n</w:t>
      </w:r>
      <w:r w:rsidR="002B68FB" w:rsidRPr="002B68FB">
        <w:t>it</w:t>
      </w:r>
      <w:r w:rsidR="00FE79F7">
        <w:t>i</w:t>
      </w:r>
      <w:r w:rsidR="002B68FB" w:rsidRPr="002B68FB">
        <w:t>ative</w:t>
      </w:r>
      <w:r w:rsidR="002B68FB">
        <w:t>s</w:t>
      </w:r>
      <w:r>
        <w:t xml:space="preserve"> such as the </w:t>
      </w:r>
      <w:r w:rsidR="002B68FB" w:rsidRPr="00093CE7">
        <w:t>Ravine Skate</w:t>
      </w:r>
      <w:r w:rsidR="00F30D5E">
        <w:t xml:space="preserve"> park, </w:t>
      </w:r>
      <w:r w:rsidR="002B68FB" w:rsidRPr="002B68FB">
        <w:t xml:space="preserve">speeding and parking awareness. Staff members </w:t>
      </w:r>
      <w:r w:rsidR="002B68FB">
        <w:t>have also joined beat officers a</w:t>
      </w:r>
      <w:r w:rsidR="002B68FB" w:rsidRPr="002B68FB">
        <w:t>fter school hours.</w:t>
      </w:r>
    </w:p>
    <w:p w:rsidR="002B68FB" w:rsidRDefault="00093CE7" w:rsidP="00F30D5E">
      <w:pPr>
        <w:pStyle w:val="ListParagraph"/>
        <w:ind w:left="360"/>
      </w:pPr>
      <w:r>
        <w:rPr>
          <w:b/>
        </w:rPr>
        <w:t xml:space="preserve">(iii). </w:t>
      </w:r>
      <w:r w:rsidR="00AE796C" w:rsidRPr="00093CE7">
        <w:rPr>
          <w:b/>
        </w:rPr>
        <w:t>Youth Agencies</w:t>
      </w:r>
      <w:r w:rsidR="002B68FB" w:rsidRPr="00093CE7">
        <w:rPr>
          <w:b/>
        </w:rPr>
        <w:t xml:space="preserve"> </w:t>
      </w:r>
      <w:r w:rsidR="00F30D5E">
        <w:t>–</w:t>
      </w:r>
      <w:r w:rsidR="002B68FB" w:rsidRPr="002B68FB">
        <w:t xml:space="preserve"> Many</w:t>
      </w:r>
      <w:r w:rsidR="00F30D5E">
        <w:t xml:space="preserve"> of our vulnerable and disadvantaged </w:t>
      </w:r>
      <w:r w:rsidR="002B68FB" w:rsidRPr="002B68FB">
        <w:t>students are supported by our colleagues from the Prevention Team, Compass, Healthy Schools Team and Thirsk</w:t>
      </w:r>
      <w:r w:rsidR="002B68FB">
        <w:t xml:space="preserve"> </w:t>
      </w:r>
      <w:r w:rsidR="002B68FB" w:rsidRPr="002B68FB">
        <w:t xml:space="preserve">clock. This support is essential </w:t>
      </w:r>
      <w:r w:rsidR="002B68FB">
        <w:t>for</w:t>
      </w:r>
      <w:r w:rsidR="002B68FB" w:rsidRPr="002B68FB">
        <w:t xml:space="preserve"> students</w:t>
      </w:r>
      <w:r w:rsidR="002B68FB">
        <w:t>, offering</w:t>
      </w:r>
      <w:r w:rsidR="002B68FB" w:rsidRPr="002B68FB">
        <w:t xml:space="preserve"> advice and guidance above </w:t>
      </w:r>
      <w:r w:rsidR="002B68FB">
        <w:t xml:space="preserve">and beyond </w:t>
      </w:r>
      <w:r w:rsidR="002B68FB" w:rsidRPr="002B68FB">
        <w:t>what the school pastoral team can</w:t>
      </w:r>
      <w:r w:rsidR="002B68FB">
        <w:t xml:space="preserve"> offer</w:t>
      </w:r>
      <w:r w:rsidR="002B68FB" w:rsidRPr="002B68FB">
        <w:t>. Th</w:t>
      </w:r>
      <w:r w:rsidR="002B68FB">
        <w:t>i</w:t>
      </w:r>
      <w:r w:rsidR="002B68FB" w:rsidRPr="002B68FB">
        <w:t>s support can be accessed individually or in small group work both</w:t>
      </w:r>
      <w:r w:rsidR="002B68FB">
        <w:t xml:space="preserve"> within</w:t>
      </w:r>
      <w:r w:rsidR="002B68FB" w:rsidRPr="002B68FB">
        <w:t xml:space="preserve"> and out</w:t>
      </w:r>
      <w:r w:rsidR="002B68FB">
        <w:t>side</w:t>
      </w:r>
      <w:r w:rsidR="002B68FB" w:rsidRPr="002B68FB">
        <w:t xml:space="preserve"> of school hours.</w:t>
      </w:r>
    </w:p>
    <w:p w:rsidR="00093CE7" w:rsidRPr="002B68FB" w:rsidRDefault="00093CE7" w:rsidP="00F30D5E">
      <w:pPr>
        <w:pStyle w:val="ListParagraph"/>
        <w:ind w:left="360"/>
      </w:pPr>
    </w:p>
    <w:p w:rsidR="00093CE7" w:rsidRPr="00093CE7" w:rsidRDefault="00382302" w:rsidP="00F30D5E">
      <w:pPr>
        <w:pStyle w:val="ListParagraph"/>
        <w:numPr>
          <w:ilvl w:val="0"/>
          <w:numId w:val="1"/>
        </w:numPr>
        <w:ind w:left="360"/>
        <w:rPr>
          <w:b/>
        </w:rPr>
      </w:pPr>
      <w:r w:rsidRPr="00CF323D">
        <w:rPr>
          <w:b/>
        </w:rPr>
        <w:t>Care</w:t>
      </w:r>
      <w:r w:rsidR="002B68FB" w:rsidRPr="00CF323D">
        <w:rPr>
          <w:b/>
        </w:rPr>
        <w:t>e</w:t>
      </w:r>
      <w:r w:rsidRPr="00CF323D">
        <w:rPr>
          <w:b/>
        </w:rPr>
        <w:t xml:space="preserve">rs Guidance </w:t>
      </w:r>
      <w:r w:rsidR="00F30D5E">
        <w:rPr>
          <w:b/>
        </w:rPr>
        <w:t>–</w:t>
      </w:r>
      <w:r w:rsidRPr="002B68FB">
        <w:t xml:space="preserve"> </w:t>
      </w:r>
      <w:r w:rsidR="002B68FB" w:rsidRPr="002B68FB">
        <w:t>All</w:t>
      </w:r>
      <w:r w:rsidR="00F30D5E">
        <w:t xml:space="preserve"> of</w:t>
      </w:r>
      <w:r w:rsidR="002B68FB" w:rsidRPr="002B68FB">
        <w:t xml:space="preserve"> </w:t>
      </w:r>
      <w:r w:rsidR="00E81D78">
        <w:t>our P</w:t>
      </w:r>
      <w:r w:rsidR="00F30D5E">
        <w:t>P</w:t>
      </w:r>
      <w:r w:rsidR="00E81D78">
        <w:t xml:space="preserve"> students are </w:t>
      </w:r>
      <w:r w:rsidR="002B68FB" w:rsidRPr="002B68FB">
        <w:t>offered careers guidance both individually by our school careers adviser and in</w:t>
      </w:r>
      <w:r w:rsidR="002B68FB">
        <w:t xml:space="preserve"> designated </w:t>
      </w:r>
      <w:r w:rsidR="002B68FB" w:rsidRPr="002B68FB">
        <w:t>year groups as appropriate</w:t>
      </w:r>
      <w:r w:rsidR="00CF323D">
        <w:t xml:space="preserve">. For example our </w:t>
      </w:r>
      <w:r w:rsidR="00CF323D" w:rsidRPr="00CF323D">
        <w:t>year 11</w:t>
      </w:r>
      <w:r w:rsidR="00CF323D">
        <w:t xml:space="preserve"> students each have </w:t>
      </w:r>
      <w:r w:rsidR="00CF323D" w:rsidRPr="00CF323D">
        <w:t>a careers action plan which is updated throughout the key stage.</w:t>
      </w:r>
      <w:r w:rsidR="00CF323D">
        <w:t xml:space="preserve">  P</w:t>
      </w:r>
      <w:r w:rsidR="00F30D5E">
        <w:t>P</w:t>
      </w:r>
      <w:r w:rsidR="00CF323D">
        <w:t xml:space="preserve"> students </w:t>
      </w:r>
      <w:r w:rsidR="00CF323D">
        <w:t xml:space="preserve">also benefit from our close links with local </w:t>
      </w:r>
      <w:r w:rsidR="00CF323D">
        <w:t xml:space="preserve">Colleges and </w:t>
      </w:r>
      <w:r w:rsidR="00CF323D">
        <w:t xml:space="preserve">Universities in </w:t>
      </w:r>
      <w:r w:rsidR="00CF323D">
        <w:t xml:space="preserve">Scarborough, </w:t>
      </w:r>
      <w:r w:rsidR="00CF323D">
        <w:t xml:space="preserve">Hull and York, providing opportunities for visits, competitions and the use of visiting speakers, etc. </w:t>
      </w:r>
      <w:r w:rsidR="00CF323D">
        <w:t>On</w:t>
      </w:r>
      <w:r w:rsidR="00F30D5E">
        <w:t>e</w:t>
      </w:r>
      <w:r w:rsidR="00CF323D">
        <w:t xml:space="preserve"> such example included curriculum time</w:t>
      </w:r>
      <w:r w:rsidR="00093CE7">
        <w:t xml:space="preserve"> being</w:t>
      </w:r>
      <w:r w:rsidR="00CF323D">
        <w:t xml:space="preserve"> s</w:t>
      </w:r>
      <w:r w:rsidR="00E81D78">
        <w:t xml:space="preserve">et aside to work with Yorkshire Community College and FORCE to challenge the stereotypes that surround going to </w:t>
      </w:r>
      <w:r w:rsidR="00093CE7">
        <w:t>University</w:t>
      </w:r>
      <w:r w:rsidR="00E81D78">
        <w:t xml:space="preserve"> and raise </w:t>
      </w:r>
      <w:r w:rsidR="00093CE7">
        <w:t xml:space="preserve">individual </w:t>
      </w:r>
      <w:r w:rsidR="00E81D78">
        <w:t>aspirations. P</w:t>
      </w:r>
      <w:r w:rsidR="00F30D5E">
        <w:t>P</w:t>
      </w:r>
      <w:r w:rsidR="00E81D78">
        <w:t xml:space="preserve"> students are also </w:t>
      </w:r>
      <w:r w:rsidR="00093CE7">
        <w:t xml:space="preserve">involved </w:t>
      </w:r>
      <w:r w:rsidR="00E81D78">
        <w:t xml:space="preserve">in the </w:t>
      </w:r>
      <w:r w:rsidR="00093CE7">
        <w:t>“</w:t>
      </w:r>
      <w:r w:rsidR="00E81D78">
        <w:t>High 5</w:t>
      </w:r>
      <w:r w:rsidR="00093CE7">
        <w:t>”</w:t>
      </w:r>
      <w:r w:rsidR="00E81D78">
        <w:t xml:space="preserve"> project which likewise seeks to encourage students to consider moving on to higher education</w:t>
      </w:r>
      <w:r w:rsidR="00CF323D">
        <w:t xml:space="preserve">. </w:t>
      </w:r>
    </w:p>
    <w:p w:rsidR="00093CE7" w:rsidRDefault="00093CE7" w:rsidP="00F30D5E">
      <w:pPr>
        <w:rPr>
          <w:b/>
        </w:rPr>
      </w:pPr>
    </w:p>
    <w:p w:rsidR="00503EE0" w:rsidRPr="00093CE7" w:rsidRDefault="00503EE0" w:rsidP="00093CE7">
      <w:pPr>
        <w:rPr>
          <w:b/>
        </w:rPr>
      </w:pPr>
      <w:r w:rsidRPr="00093CE7">
        <w:rPr>
          <w:b/>
        </w:rPr>
        <w:t>Evaluation of Impact</w:t>
      </w:r>
    </w:p>
    <w:p w:rsidR="00BA7D8C" w:rsidRDefault="00BA7D8C" w:rsidP="00503EE0"/>
    <w:p w:rsidR="00503EE0" w:rsidRDefault="00BA7D8C" w:rsidP="00722AA6">
      <w:r>
        <w:t xml:space="preserve">We are hoping that by raising the awareness in this area and providing training we will see the outcomes of pupils eligible for </w:t>
      </w:r>
      <w:r w:rsidR="00F30D5E">
        <w:t>PP</w:t>
      </w:r>
      <w:r>
        <w:t xml:space="preserve"> funding increase and accelerate at least as rapidly as their peers, if not even more.</w:t>
      </w:r>
      <w:r w:rsidR="00722AA6">
        <w:t xml:space="preserve"> </w:t>
      </w:r>
      <w:r>
        <w:t xml:space="preserve">We believe that by raising </w:t>
      </w:r>
      <w:r w:rsidR="00382302">
        <w:t>s</w:t>
      </w:r>
      <w:r w:rsidR="00503EE0">
        <w:t xml:space="preserve">taff </w:t>
      </w:r>
      <w:r>
        <w:t xml:space="preserve">awareness and </w:t>
      </w:r>
      <w:r w:rsidR="00503EE0">
        <w:t>understanding of the needs of some of our most vulnerable pupils</w:t>
      </w:r>
      <w:r w:rsidR="00A700F0">
        <w:t xml:space="preserve"> then they </w:t>
      </w:r>
      <w:r w:rsidR="002B68FB">
        <w:t>can implement</w:t>
      </w:r>
      <w:r w:rsidR="00A700F0">
        <w:t xml:space="preserve"> a </w:t>
      </w:r>
      <w:r w:rsidR="00503EE0">
        <w:t>range of in</w:t>
      </w:r>
      <w:r w:rsidR="00382302">
        <w:t>-</w:t>
      </w:r>
      <w:r w:rsidR="00503EE0">
        <w:t>scho</w:t>
      </w:r>
      <w:r>
        <w:t>ol</w:t>
      </w:r>
      <w:r w:rsidR="00382302">
        <w:t xml:space="preserve"> interventions designed to</w:t>
      </w:r>
      <w:r w:rsidR="00A700F0">
        <w:t xml:space="preserve"> improve </w:t>
      </w:r>
      <w:r w:rsidR="00F30D5E">
        <w:t>PP</w:t>
      </w:r>
      <w:r w:rsidR="00A700F0">
        <w:t xml:space="preserve"> outcomes.</w:t>
      </w:r>
    </w:p>
    <w:p w:rsidR="00F30D5E" w:rsidRDefault="00F30D5E" w:rsidP="00A700F0">
      <w:pPr>
        <w:pStyle w:val="ListParagraph"/>
        <w:pBdr>
          <w:bottom w:val="dotted" w:sz="24" w:space="1" w:color="auto"/>
        </w:pBdr>
      </w:pPr>
    </w:p>
    <w:p w:rsidR="00F30D5E" w:rsidRDefault="00F30D5E" w:rsidP="00A700F0">
      <w:pPr>
        <w:pStyle w:val="ListParagraph"/>
      </w:pPr>
    </w:p>
    <w:p w:rsidR="00F30D5E" w:rsidRPr="00F30D5E" w:rsidRDefault="00F30D5E" w:rsidP="00F30D5E">
      <w:pPr>
        <w:rPr>
          <w:sz w:val="16"/>
          <w:szCs w:val="16"/>
          <w:u w:val="single"/>
        </w:rPr>
      </w:pPr>
      <w:r w:rsidRPr="00F30D5E">
        <w:rPr>
          <w:sz w:val="16"/>
          <w:szCs w:val="16"/>
          <w:u w:val="single"/>
        </w:rPr>
        <w:t xml:space="preserve">Notes: </w:t>
      </w:r>
    </w:p>
    <w:p w:rsidR="00F30D5E" w:rsidRDefault="00F30D5E" w:rsidP="00A700F0">
      <w:pPr>
        <w:rPr>
          <w:sz w:val="16"/>
          <w:szCs w:val="16"/>
        </w:rPr>
      </w:pPr>
    </w:p>
    <w:p w:rsidR="00A700F0" w:rsidRPr="00F30D5E" w:rsidRDefault="00A700F0" w:rsidP="00A700F0">
      <w:pPr>
        <w:rPr>
          <w:sz w:val="16"/>
          <w:szCs w:val="16"/>
        </w:rPr>
      </w:pPr>
      <w:r w:rsidRPr="00F30D5E">
        <w:rPr>
          <w:sz w:val="16"/>
          <w:szCs w:val="16"/>
        </w:rPr>
        <w:t>(i).</w:t>
      </w:r>
      <w:r w:rsidR="00382302" w:rsidRPr="00F30D5E">
        <w:rPr>
          <w:sz w:val="16"/>
          <w:szCs w:val="16"/>
        </w:rPr>
        <w:t xml:space="preserve"> “Joint Strategic Needs Assessment Annual Update 2016 - Scarborough Ryedale CCG “ </w:t>
      </w:r>
      <w:hyperlink r:id="rId7" w:history="1">
        <w:r w:rsidRPr="00F30D5E">
          <w:rPr>
            <w:rStyle w:val="Hyperlink"/>
            <w:sz w:val="16"/>
            <w:szCs w:val="16"/>
          </w:rPr>
          <w:t>http://hub.datanorthyorkshire.org/dataset/2cb529f6-4715-4c2d-9364-a770deb03472/resource/7f35fa96-956a-4203-9f9f-fd605976c2b6/download/north-yorkshire-jsna-overview-for-srccg-jan-16refreshfinal.pdf</w:t>
        </w:r>
      </w:hyperlink>
    </w:p>
    <w:p w:rsidR="00A700F0" w:rsidRPr="00F30D5E" w:rsidRDefault="00A700F0" w:rsidP="00A700F0">
      <w:pPr>
        <w:rPr>
          <w:sz w:val="16"/>
          <w:szCs w:val="16"/>
        </w:rPr>
      </w:pPr>
    </w:p>
    <w:p w:rsidR="00384122" w:rsidRPr="00F30D5E" w:rsidRDefault="00382302" w:rsidP="00384122">
      <w:pPr>
        <w:rPr>
          <w:rStyle w:val="Hyperlink"/>
          <w:sz w:val="16"/>
          <w:szCs w:val="16"/>
        </w:rPr>
      </w:pPr>
      <w:r w:rsidRPr="00F30D5E">
        <w:rPr>
          <w:sz w:val="16"/>
          <w:szCs w:val="16"/>
        </w:rPr>
        <w:t>(ii</w:t>
      </w:r>
      <w:r w:rsidR="00384122" w:rsidRPr="00F30D5E">
        <w:rPr>
          <w:sz w:val="16"/>
          <w:szCs w:val="16"/>
        </w:rPr>
        <w:t xml:space="preserve">). </w:t>
      </w:r>
      <w:hyperlink r:id="rId8" w:history="1">
        <w:r w:rsidR="00384122" w:rsidRPr="00F30D5E">
          <w:rPr>
            <w:rStyle w:val="Hyperlink"/>
            <w:sz w:val="16"/>
            <w:szCs w:val="16"/>
          </w:rPr>
          <w:t>http://www.suttontrust.com/wpcontent/uploads/2015/06/Pupil-Premium-SummitReport-FINAL-EDIT.pdf</w:t>
        </w:r>
      </w:hyperlink>
    </w:p>
    <w:p w:rsidR="00382302" w:rsidRPr="00F30D5E" w:rsidRDefault="00382302" w:rsidP="00384122">
      <w:pPr>
        <w:rPr>
          <w:rStyle w:val="Hyperlink"/>
          <w:sz w:val="16"/>
          <w:szCs w:val="16"/>
        </w:rPr>
      </w:pPr>
    </w:p>
    <w:p w:rsidR="00382302" w:rsidRPr="00F30D5E" w:rsidRDefault="00382302" w:rsidP="00384122">
      <w:pPr>
        <w:rPr>
          <w:sz w:val="16"/>
          <w:szCs w:val="16"/>
        </w:rPr>
      </w:pPr>
      <w:r w:rsidRPr="00F30D5E">
        <w:rPr>
          <w:sz w:val="16"/>
          <w:szCs w:val="16"/>
        </w:rPr>
        <w:t xml:space="preserve">(iii). </w:t>
      </w:r>
      <w:hyperlink r:id="rId9" w:history="1">
        <w:r w:rsidRPr="00F30D5E">
          <w:rPr>
            <w:rStyle w:val="Hyperlink"/>
            <w:sz w:val="16"/>
            <w:szCs w:val="16"/>
          </w:rPr>
          <w:t>https://www.york.ac.uk/media/iee/documents/Closing%20the%20Gap.pdf</w:t>
        </w:r>
      </w:hyperlink>
    </w:p>
    <w:sectPr w:rsidR="00382302" w:rsidRPr="00F30D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04DCE"/>
    <w:multiLevelType w:val="hybridMultilevel"/>
    <w:tmpl w:val="076C01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F7B6348"/>
    <w:multiLevelType w:val="hybridMultilevel"/>
    <w:tmpl w:val="647425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4E379F8"/>
    <w:multiLevelType w:val="hybridMultilevel"/>
    <w:tmpl w:val="647425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EB717A0"/>
    <w:multiLevelType w:val="hybridMultilevel"/>
    <w:tmpl w:val="06DEE596"/>
    <w:lvl w:ilvl="0" w:tplc="46049A5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F462B7C"/>
    <w:multiLevelType w:val="hybridMultilevel"/>
    <w:tmpl w:val="3566E0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76D17FCF"/>
    <w:multiLevelType w:val="hybridMultilevel"/>
    <w:tmpl w:val="647425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EE0"/>
    <w:rsid w:val="0006172B"/>
    <w:rsid w:val="00093CE7"/>
    <w:rsid w:val="000D2066"/>
    <w:rsid w:val="002B68FB"/>
    <w:rsid w:val="00382302"/>
    <w:rsid w:val="00384122"/>
    <w:rsid w:val="00503EE0"/>
    <w:rsid w:val="005E2548"/>
    <w:rsid w:val="00722AA6"/>
    <w:rsid w:val="00A700F0"/>
    <w:rsid w:val="00AE796C"/>
    <w:rsid w:val="00BA6CB4"/>
    <w:rsid w:val="00BA7D8C"/>
    <w:rsid w:val="00CF323D"/>
    <w:rsid w:val="00D3040B"/>
    <w:rsid w:val="00E81D78"/>
    <w:rsid w:val="00EA76F9"/>
    <w:rsid w:val="00F0255D"/>
    <w:rsid w:val="00F30D5E"/>
    <w:rsid w:val="00FE79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066"/>
    <w:rPr>
      <w:sz w:val="24"/>
    </w:rPr>
  </w:style>
  <w:style w:type="paragraph" w:styleId="Heading1">
    <w:name w:val="heading 1"/>
    <w:basedOn w:val="Normal"/>
    <w:next w:val="Normal"/>
    <w:link w:val="Heading1Char"/>
    <w:qFormat/>
    <w:rsid w:val="000D2066"/>
    <w:pPr>
      <w:keepNext/>
      <w:jc w:val="both"/>
      <w:outlineLvl w:val="0"/>
    </w:pPr>
    <w:rPr>
      <w:rFonts w:ascii="Comic Sans MS" w:hAnsi="Comic Sans MS"/>
      <w:bCs/>
      <w:i/>
      <w:iCs/>
      <w:sz w:val="20"/>
    </w:rPr>
  </w:style>
  <w:style w:type="paragraph" w:styleId="Heading2">
    <w:name w:val="heading 2"/>
    <w:basedOn w:val="Normal"/>
    <w:next w:val="Normal"/>
    <w:link w:val="Heading2Char"/>
    <w:qFormat/>
    <w:rsid w:val="000D2066"/>
    <w:pPr>
      <w:keepNext/>
      <w:jc w:val="both"/>
      <w:outlineLvl w:val="1"/>
    </w:pPr>
    <w:rPr>
      <w:rFonts w:ascii="Comic Sans MS" w:hAnsi="Comic Sans MS"/>
      <w:i/>
      <w:sz w:val="20"/>
      <w:u w:val="single"/>
    </w:rPr>
  </w:style>
  <w:style w:type="paragraph" w:styleId="Heading3">
    <w:name w:val="heading 3"/>
    <w:basedOn w:val="Normal"/>
    <w:next w:val="Normal"/>
    <w:link w:val="Heading3Char"/>
    <w:qFormat/>
    <w:rsid w:val="000D2066"/>
    <w:pPr>
      <w:keepNext/>
      <w:jc w:val="both"/>
      <w:outlineLvl w:val="2"/>
    </w:pPr>
    <w:rPr>
      <w:rFonts w:ascii="Comic Sans MS" w:hAnsi="Comic Sans MS"/>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2066"/>
    <w:rPr>
      <w:rFonts w:ascii="Comic Sans MS" w:hAnsi="Comic Sans MS"/>
      <w:bCs/>
      <w:i/>
      <w:iCs/>
    </w:rPr>
  </w:style>
  <w:style w:type="character" w:customStyle="1" w:styleId="Heading2Char">
    <w:name w:val="Heading 2 Char"/>
    <w:basedOn w:val="DefaultParagraphFont"/>
    <w:link w:val="Heading2"/>
    <w:rsid w:val="000D2066"/>
    <w:rPr>
      <w:rFonts w:ascii="Comic Sans MS" w:hAnsi="Comic Sans MS"/>
      <w:i/>
      <w:u w:val="single"/>
    </w:rPr>
  </w:style>
  <w:style w:type="character" w:customStyle="1" w:styleId="Heading3Char">
    <w:name w:val="Heading 3 Char"/>
    <w:basedOn w:val="DefaultParagraphFont"/>
    <w:link w:val="Heading3"/>
    <w:rsid w:val="000D2066"/>
    <w:rPr>
      <w:rFonts w:ascii="Comic Sans MS" w:hAnsi="Comic Sans MS"/>
      <w:b/>
      <w:u w:val="single"/>
    </w:rPr>
  </w:style>
  <w:style w:type="paragraph" w:styleId="Title">
    <w:name w:val="Title"/>
    <w:basedOn w:val="Normal"/>
    <w:link w:val="TitleChar"/>
    <w:qFormat/>
    <w:rsid w:val="000D2066"/>
    <w:pPr>
      <w:jc w:val="center"/>
    </w:pPr>
    <w:rPr>
      <w:rFonts w:ascii="Comic Sans MS" w:hAnsi="Comic Sans MS"/>
      <w:b/>
      <w:sz w:val="20"/>
      <w:u w:val="single"/>
    </w:rPr>
  </w:style>
  <w:style w:type="character" w:customStyle="1" w:styleId="TitleChar">
    <w:name w:val="Title Char"/>
    <w:basedOn w:val="DefaultParagraphFont"/>
    <w:link w:val="Title"/>
    <w:rsid w:val="000D2066"/>
    <w:rPr>
      <w:rFonts w:ascii="Comic Sans MS" w:hAnsi="Comic Sans MS"/>
      <w:b/>
      <w:u w:val="single"/>
    </w:rPr>
  </w:style>
  <w:style w:type="paragraph" w:styleId="ListParagraph">
    <w:name w:val="List Paragraph"/>
    <w:basedOn w:val="Normal"/>
    <w:uiPriority w:val="34"/>
    <w:qFormat/>
    <w:rsid w:val="000D2066"/>
    <w:pPr>
      <w:ind w:left="720"/>
      <w:contextualSpacing/>
    </w:pPr>
  </w:style>
  <w:style w:type="character" w:styleId="Hyperlink">
    <w:name w:val="Hyperlink"/>
    <w:basedOn w:val="DefaultParagraphFont"/>
    <w:uiPriority w:val="99"/>
    <w:unhideWhenUsed/>
    <w:rsid w:val="00BA6CB4"/>
    <w:rPr>
      <w:color w:val="0000FF" w:themeColor="hyperlink"/>
      <w:u w:val="single"/>
    </w:rPr>
  </w:style>
  <w:style w:type="paragraph" w:styleId="BalloonText">
    <w:name w:val="Balloon Text"/>
    <w:basedOn w:val="Normal"/>
    <w:link w:val="BalloonTextChar"/>
    <w:uiPriority w:val="99"/>
    <w:semiHidden/>
    <w:unhideWhenUsed/>
    <w:rsid w:val="00A700F0"/>
    <w:rPr>
      <w:rFonts w:ascii="Tahoma" w:hAnsi="Tahoma" w:cs="Tahoma"/>
      <w:sz w:val="16"/>
      <w:szCs w:val="16"/>
    </w:rPr>
  </w:style>
  <w:style w:type="character" w:customStyle="1" w:styleId="BalloonTextChar">
    <w:name w:val="Balloon Text Char"/>
    <w:basedOn w:val="DefaultParagraphFont"/>
    <w:link w:val="BalloonText"/>
    <w:uiPriority w:val="99"/>
    <w:semiHidden/>
    <w:rsid w:val="00A700F0"/>
    <w:rPr>
      <w:rFonts w:ascii="Tahoma" w:hAnsi="Tahoma" w:cs="Tahoma"/>
      <w:sz w:val="16"/>
      <w:szCs w:val="16"/>
    </w:rPr>
  </w:style>
  <w:style w:type="character" w:styleId="Emphasis">
    <w:name w:val="Emphasis"/>
    <w:basedOn w:val="DefaultParagraphFont"/>
    <w:qFormat/>
    <w:rsid w:val="00A700F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066"/>
    <w:rPr>
      <w:sz w:val="24"/>
    </w:rPr>
  </w:style>
  <w:style w:type="paragraph" w:styleId="Heading1">
    <w:name w:val="heading 1"/>
    <w:basedOn w:val="Normal"/>
    <w:next w:val="Normal"/>
    <w:link w:val="Heading1Char"/>
    <w:qFormat/>
    <w:rsid w:val="000D2066"/>
    <w:pPr>
      <w:keepNext/>
      <w:jc w:val="both"/>
      <w:outlineLvl w:val="0"/>
    </w:pPr>
    <w:rPr>
      <w:rFonts w:ascii="Comic Sans MS" w:hAnsi="Comic Sans MS"/>
      <w:bCs/>
      <w:i/>
      <w:iCs/>
      <w:sz w:val="20"/>
    </w:rPr>
  </w:style>
  <w:style w:type="paragraph" w:styleId="Heading2">
    <w:name w:val="heading 2"/>
    <w:basedOn w:val="Normal"/>
    <w:next w:val="Normal"/>
    <w:link w:val="Heading2Char"/>
    <w:qFormat/>
    <w:rsid w:val="000D2066"/>
    <w:pPr>
      <w:keepNext/>
      <w:jc w:val="both"/>
      <w:outlineLvl w:val="1"/>
    </w:pPr>
    <w:rPr>
      <w:rFonts w:ascii="Comic Sans MS" w:hAnsi="Comic Sans MS"/>
      <w:i/>
      <w:sz w:val="20"/>
      <w:u w:val="single"/>
    </w:rPr>
  </w:style>
  <w:style w:type="paragraph" w:styleId="Heading3">
    <w:name w:val="heading 3"/>
    <w:basedOn w:val="Normal"/>
    <w:next w:val="Normal"/>
    <w:link w:val="Heading3Char"/>
    <w:qFormat/>
    <w:rsid w:val="000D2066"/>
    <w:pPr>
      <w:keepNext/>
      <w:jc w:val="both"/>
      <w:outlineLvl w:val="2"/>
    </w:pPr>
    <w:rPr>
      <w:rFonts w:ascii="Comic Sans MS" w:hAnsi="Comic Sans MS"/>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2066"/>
    <w:rPr>
      <w:rFonts w:ascii="Comic Sans MS" w:hAnsi="Comic Sans MS"/>
      <w:bCs/>
      <w:i/>
      <w:iCs/>
    </w:rPr>
  </w:style>
  <w:style w:type="character" w:customStyle="1" w:styleId="Heading2Char">
    <w:name w:val="Heading 2 Char"/>
    <w:basedOn w:val="DefaultParagraphFont"/>
    <w:link w:val="Heading2"/>
    <w:rsid w:val="000D2066"/>
    <w:rPr>
      <w:rFonts w:ascii="Comic Sans MS" w:hAnsi="Comic Sans MS"/>
      <w:i/>
      <w:u w:val="single"/>
    </w:rPr>
  </w:style>
  <w:style w:type="character" w:customStyle="1" w:styleId="Heading3Char">
    <w:name w:val="Heading 3 Char"/>
    <w:basedOn w:val="DefaultParagraphFont"/>
    <w:link w:val="Heading3"/>
    <w:rsid w:val="000D2066"/>
    <w:rPr>
      <w:rFonts w:ascii="Comic Sans MS" w:hAnsi="Comic Sans MS"/>
      <w:b/>
      <w:u w:val="single"/>
    </w:rPr>
  </w:style>
  <w:style w:type="paragraph" w:styleId="Title">
    <w:name w:val="Title"/>
    <w:basedOn w:val="Normal"/>
    <w:link w:val="TitleChar"/>
    <w:qFormat/>
    <w:rsid w:val="000D2066"/>
    <w:pPr>
      <w:jc w:val="center"/>
    </w:pPr>
    <w:rPr>
      <w:rFonts w:ascii="Comic Sans MS" w:hAnsi="Comic Sans MS"/>
      <w:b/>
      <w:sz w:val="20"/>
      <w:u w:val="single"/>
    </w:rPr>
  </w:style>
  <w:style w:type="character" w:customStyle="1" w:styleId="TitleChar">
    <w:name w:val="Title Char"/>
    <w:basedOn w:val="DefaultParagraphFont"/>
    <w:link w:val="Title"/>
    <w:rsid w:val="000D2066"/>
    <w:rPr>
      <w:rFonts w:ascii="Comic Sans MS" w:hAnsi="Comic Sans MS"/>
      <w:b/>
      <w:u w:val="single"/>
    </w:rPr>
  </w:style>
  <w:style w:type="paragraph" w:styleId="ListParagraph">
    <w:name w:val="List Paragraph"/>
    <w:basedOn w:val="Normal"/>
    <w:uiPriority w:val="34"/>
    <w:qFormat/>
    <w:rsid w:val="000D2066"/>
    <w:pPr>
      <w:ind w:left="720"/>
      <w:contextualSpacing/>
    </w:pPr>
  </w:style>
  <w:style w:type="character" w:styleId="Hyperlink">
    <w:name w:val="Hyperlink"/>
    <w:basedOn w:val="DefaultParagraphFont"/>
    <w:uiPriority w:val="99"/>
    <w:unhideWhenUsed/>
    <w:rsid w:val="00BA6CB4"/>
    <w:rPr>
      <w:color w:val="0000FF" w:themeColor="hyperlink"/>
      <w:u w:val="single"/>
    </w:rPr>
  </w:style>
  <w:style w:type="paragraph" w:styleId="BalloonText">
    <w:name w:val="Balloon Text"/>
    <w:basedOn w:val="Normal"/>
    <w:link w:val="BalloonTextChar"/>
    <w:uiPriority w:val="99"/>
    <w:semiHidden/>
    <w:unhideWhenUsed/>
    <w:rsid w:val="00A700F0"/>
    <w:rPr>
      <w:rFonts w:ascii="Tahoma" w:hAnsi="Tahoma" w:cs="Tahoma"/>
      <w:sz w:val="16"/>
      <w:szCs w:val="16"/>
    </w:rPr>
  </w:style>
  <w:style w:type="character" w:customStyle="1" w:styleId="BalloonTextChar">
    <w:name w:val="Balloon Text Char"/>
    <w:basedOn w:val="DefaultParagraphFont"/>
    <w:link w:val="BalloonText"/>
    <w:uiPriority w:val="99"/>
    <w:semiHidden/>
    <w:rsid w:val="00A700F0"/>
    <w:rPr>
      <w:rFonts w:ascii="Tahoma" w:hAnsi="Tahoma" w:cs="Tahoma"/>
      <w:sz w:val="16"/>
      <w:szCs w:val="16"/>
    </w:rPr>
  </w:style>
  <w:style w:type="character" w:styleId="Emphasis">
    <w:name w:val="Emphasis"/>
    <w:basedOn w:val="DefaultParagraphFont"/>
    <w:qFormat/>
    <w:rsid w:val="00A700F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ttontrust.com/wpcontent/uploads/2015/06/Pupil-Premium-SummitReport-FINAL-EDIT.pdf" TargetMode="External"/><Relationship Id="rId3" Type="http://schemas.microsoft.com/office/2007/relationships/stylesWithEffects" Target="stylesWithEffects.xml"/><Relationship Id="rId7" Type="http://schemas.openxmlformats.org/officeDocument/2006/relationships/hyperlink" Target="http://hub.datanorthyorkshire.org/dataset/2cb529f6-4715-4c2d-9364-a770deb03472/resource/7f35fa96-956a-4203-9f9f-fd605976c2b6/download/north-yorkshire-jsna-overview-for-srccg-jan-16refreshfina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rk.ac.uk/media/iee/documents/Closing%20the%20Ga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992</Words>
  <Characters>5655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Winter, John</dc:creator>
  <cp:lastModifiedBy>Winter, John</cp:lastModifiedBy>
  <cp:revision>2</cp:revision>
  <cp:lastPrinted>2017-03-01T11:15:00Z</cp:lastPrinted>
  <dcterms:created xsi:type="dcterms:W3CDTF">2017-03-01T11:21:00Z</dcterms:created>
  <dcterms:modified xsi:type="dcterms:W3CDTF">2017-03-01T11:21:00Z</dcterms:modified>
</cp:coreProperties>
</file>